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CA03" w14:textId="238619FD" w:rsidR="00F37335" w:rsidRDefault="00F37335" w:rsidP="00F37335">
      <w:pPr>
        <w:widowControl/>
        <w:wordWrap/>
        <w:autoSpaceDE/>
        <w:autoSpaceDN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139627594"/>
    </w:p>
    <w:tbl>
      <w:tblPr>
        <w:tblW w:w="136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851"/>
        <w:gridCol w:w="1275"/>
        <w:gridCol w:w="1701"/>
        <w:gridCol w:w="1134"/>
        <w:gridCol w:w="1701"/>
        <w:gridCol w:w="1134"/>
        <w:gridCol w:w="1737"/>
      </w:tblGrid>
      <w:tr w:rsidR="00F37335" w:rsidRPr="00973DC1" w14:paraId="08EACF29" w14:textId="77777777" w:rsidTr="00A41F82">
        <w:trPr>
          <w:trHeight w:val="353"/>
        </w:trPr>
        <w:tc>
          <w:tcPr>
            <w:tcW w:w="1364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9B0A8" w14:textId="77777777" w:rsidR="00F37335" w:rsidRPr="00973DC1" w:rsidRDefault="00131A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Supplemental Material</w:t>
            </w:r>
            <w:r w:rsidR="00F37335" w:rsidRPr="00CE6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373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F37335"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Sensitivity analysis for baseline phases for sleep duration assessment</w:t>
            </w:r>
          </w:p>
        </w:tc>
      </w:tr>
      <w:tr w:rsidR="00F37335" w:rsidRPr="00973DC1" w14:paraId="7B44F555" w14:textId="77777777" w:rsidTr="00A41F82">
        <w:trPr>
          <w:trHeight w:val="353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1A1F3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Sleep duration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C2CD66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Baseline</w:t>
            </w: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phase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F2A76A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Person-years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163069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BD82A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All-cause death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0A54E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Cancer death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25BB5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CVD death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F37335" w:rsidRPr="00973DC1" w14:paraId="2A1C0050" w14:textId="77777777" w:rsidTr="00A41F82">
        <w:trPr>
          <w:trHeight w:val="538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84C221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18366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EB8255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F3AED9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87AEF8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Number </w:t>
            </w: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of deaths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04EE9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HR (95% CI)</w:t>
            </w: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F0335C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Number </w:t>
            </w: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of deaths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F2DC7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HR (95% CI)</w:t>
            </w: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BC37EF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Number </w:t>
            </w: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of deaths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AA36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HR (95% CI)</w:t>
            </w: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</w:tr>
      <w:tr w:rsidR="00F37335" w:rsidRPr="00973DC1" w14:paraId="54FC3E1A" w14:textId="77777777" w:rsidTr="00A41F82">
        <w:trPr>
          <w:trHeight w:val="338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4B8A2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&lt; 6 hours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BE1D6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3B76A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05432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AD137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8F6A9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 (0.92-1.29)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B7668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A326C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 (0.79-1.29)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D2D61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2BB67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 (0.77-1.70)</w:t>
            </w:r>
          </w:p>
        </w:tc>
      </w:tr>
      <w:tr w:rsidR="00F37335" w:rsidRPr="00973DC1" w14:paraId="5CFD23B6" w14:textId="77777777" w:rsidTr="00A41F82">
        <w:trPr>
          <w:trHeight w:val="338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7438F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7B62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454C9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5493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74EB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319F2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1.21 (1.01-1.43)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7287D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91981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1.31 (1.15-1.43)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4386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41597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0.70 (0.41-1.19)</w:t>
            </w:r>
          </w:p>
        </w:tc>
      </w:tr>
      <w:tr w:rsidR="00F37335" w:rsidRPr="00973DC1" w14:paraId="1AD14BDD" w14:textId="77777777" w:rsidTr="00A41F82">
        <w:trPr>
          <w:trHeight w:val="338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FDF7F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DF7EE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   Heterogeneity (P)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D5BC5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8D9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227B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F6EC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F61E0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934F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232BD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</w:tr>
      <w:tr w:rsidR="00F37335" w:rsidRPr="00973DC1" w14:paraId="75D938CC" w14:textId="77777777" w:rsidTr="00A41F82">
        <w:trPr>
          <w:trHeight w:val="1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81089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F3AE6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i/>
                <w:iCs/>
                <w:color w:val="000000"/>
                <w:sz w:val="2"/>
                <w:szCs w:val="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36F4E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1F6CD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5ECC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9E4D1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BDAD3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6B3A1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25A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FE677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</w:tr>
      <w:tr w:rsidR="00F37335" w:rsidRPr="00973DC1" w14:paraId="334325B7" w14:textId="77777777" w:rsidTr="00A41F82">
        <w:trPr>
          <w:trHeight w:val="338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4D496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6 to &lt; 8 hours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C3651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C814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303 282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7DE41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6213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4AD91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38040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BD24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F662E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FD1DE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1.00 (ref)</w:t>
            </w:r>
          </w:p>
        </w:tc>
      </w:tr>
      <w:tr w:rsidR="00F37335" w:rsidRPr="00973DC1" w14:paraId="125D1ECB" w14:textId="77777777" w:rsidTr="00A41F82">
        <w:trPr>
          <w:trHeight w:val="338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A9ED2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BA0C0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2C403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383 122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66DE5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47 466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2DCFC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46D8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A1CC0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DA348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1.00 (ref)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DC29A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F9467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1.00 (ref)</w:t>
            </w:r>
          </w:p>
        </w:tc>
      </w:tr>
      <w:tr w:rsidR="00F37335" w:rsidRPr="00973DC1" w14:paraId="35B75214" w14:textId="77777777" w:rsidTr="00A41F82">
        <w:trPr>
          <w:trHeight w:val="1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3106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87A1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i/>
                <w:iCs/>
                <w:color w:val="000000"/>
                <w:sz w:val="2"/>
                <w:szCs w:val="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15D56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68C1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89B08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04B7C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CBC1F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9D690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9425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27FA2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73DC1">
              <w:rPr>
                <w:rFonts w:ascii="Times New Roman" w:hAnsi="Times New Roman" w:cs="Times New Roman"/>
                <w:sz w:val="2"/>
                <w:szCs w:val="2"/>
              </w:rPr>
              <w:t xml:space="preserve">　</w:t>
            </w:r>
          </w:p>
        </w:tc>
      </w:tr>
      <w:tr w:rsidR="00F37335" w:rsidRPr="00973DC1" w14:paraId="2CA28338" w14:textId="77777777" w:rsidTr="00A41F82">
        <w:trPr>
          <w:trHeight w:val="338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4962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≥8 hours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0CADA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2FCFE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114 489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0500D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BC9E7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D922F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1.11 (0.98-1.27)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0B3C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1E7CC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1.08 (0.90-1.30)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63F46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622D0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0.88 (0.62-1.24)</w:t>
            </w:r>
          </w:p>
        </w:tc>
      </w:tr>
      <w:tr w:rsidR="00F37335" w:rsidRPr="00973DC1" w14:paraId="2327348D" w14:textId="77777777" w:rsidTr="00A41F82">
        <w:trPr>
          <w:trHeight w:val="338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0C658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6175A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ABB6D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150 653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51560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18 579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1B003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A160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1.09 (0.97-1.22)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C6B40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B6C7C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1.11 (0.94-1.30)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DC32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4EE4F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1.04 (0.78-1.39)</w:t>
            </w:r>
          </w:p>
        </w:tc>
      </w:tr>
      <w:tr w:rsidR="00F37335" w:rsidRPr="00973DC1" w14:paraId="2259F2F5" w14:textId="77777777" w:rsidTr="00A41F82">
        <w:trPr>
          <w:trHeight w:val="338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7D59F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B0AC7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   </w:t>
            </w:r>
            <w:r w:rsidRPr="00973DC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Heterogeneity (P)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96237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9D5D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6DA44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48AE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11D39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B74C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6C32B" w14:textId="77777777" w:rsidR="00F37335" w:rsidRPr="00973DC1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DC1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</w:tr>
    </w:tbl>
    <w:p w14:paraId="6FCA6C87" w14:textId="77777777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color w:val="000000"/>
          <w:sz w:val="22"/>
          <w:szCs w:val="22"/>
        </w:rPr>
      </w:pPr>
      <w:r w:rsidRPr="00DD6D98">
        <w:rPr>
          <w:rFonts w:ascii="Times New Roman Uni" w:eastAsia="Times New Roman Uni" w:hAnsi="Times New Roman Uni" w:cs="Times New Roman Uni" w:hint="eastAsia"/>
          <w:color w:val="000000"/>
          <w:sz w:val="22"/>
          <w:szCs w:val="22"/>
        </w:rPr>
        <w:t>H</w:t>
      </w:r>
      <w:r w:rsidRPr="00DD6D98"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>R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>, hazard ratio; CI, confidence interval; CVD, cardiovascular disease; ICD-10, the 10</w:t>
      </w:r>
      <w:r w:rsidRPr="00DD6D98">
        <w:rPr>
          <w:rFonts w:ascii="Times New Roman Uni" w:eastAsia="Times New Roman Uni" w:hAnsi="Times New Roman Uni" w:cs="Times New Roman Uni"/>
          <w:color w:val="000000"/>
          <w:sz w:val="22"/>
          <w:szCs w:val="22"/>
          <w:vertAlign w:val="superscript"/>
        </w:rPr>
        <w:t>th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 revision of the International Classification of Disease</w:t>
      </w:r>
    </w:p>
    <w:p w14:paraId="43B27AD8" w14:textId="77777777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color w:val="000000"/>
          <w:sz w:val="22"/>
          <w:szCs w:val="22"/>
        </w:rPr>
      </w:pPr>
      <w:r>
        <w:rPr>
          <w:rFonts w:ascii="Times New Roman Uni" w:eastAsia="Times New Roman Uni" w:hAnsi="Times New Roman Uni" w:cs="Times New Roman Uni"/>
          <w:color w:val="000000"/>
          <w:sz w:val="22"/>
          <w:szCs w:val="22"/>
          <w:vertAlign w:val="superscript"/>
        </w:rPr>
        <w:t>1</w:t>
      </w:r>
      <w:r w:rsidRPr="00B53FBD"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 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>Cause of death identified by ICD-10 codes A00-Z99</w:t>
      </w:r>
    </w:p>
    <w:p w14:paraId="311F776D" w14:textId="77777777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color w:val="000000"/>
          <w:sz w:val="22"/>
          <w:szCs w:val="22"/>
        </w:rPr>
      </w:pPr>
      <w:r>
        <w:rPr>
          <w:rFonts w:ascii="Times New Roman Uni" w:eastAsia="Times New Roman Uni" w:hAnsi="Times New Roman Uni" w:cs="Times New Roman Uni"/>
          <w:color w:val="000000"/>
          <w:sz w:val="22"/>
          <w:szCs w:val="22"/>
          <w:vertAlign w:val="superscript"/>
        </w:rPr>
        <w:t>2</w:t>
      </w:r>
      <w:r w:rsidRPr="00DD6D98"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 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Cause of death </w:t>
      </w:r>
      <w:r w:rsidRPr="00B53FBD"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identified by ICD-10 codes </w:t>
      </w:r>
      <w:r w:rsidRPr="00B53FBD">
        <w:rPr>
          <w:rFonts w:ascii="Times New Roman Uni" w:eastAsia="Times New Roman Uni" w:hAnsi="Times New Roman Uni" w:cs="Times New Roman Uni"/>
          <w:sz w:val="22"/>
          <w:szCs w:val="22"/>
        </w:rPr>
        <w:t>C00-C97</w:t>
      </w:r>
    </w:p>
    <w:p w14:paraId="1F356AF7" w14:textId="77777777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color w:val="000000"/>
          <w:sz w:val="22"/>
          <w:szCs w:val="22"/>
        </w:rPr>
      </w:pPr>
      <w:r>
        <w:rPr>
          <w:rFonts w:ascii="Times New Roman Uni" w:eastAsia="Times New Roman Uni" w:hAnsi="Times New Roman Uni" w:cs="Times New Roman Uni"/>
          <w:color w:val="000000"/>
          <w:sz w:val="22"/>
          <w:szCs w:val="22"/>
          <w:vertAlign w:val="superscript"/>
        </w:rPr>
        <w:t>3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 Cause of death </w:t>
      </w:r>
      <w:r w:rsidRPr="00B53FBD"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identified by ICD-10 codes 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>I</w:t>
      </w:r>
      <w:r w:rsidRPr="00B53FBD">
        <w:rPr>
          <w:rFonts w:ascii="Times New Roman Uni" w:eastAsia="Times New Roman Uni" w:hAnsi="Times New Roman Uni" w:cs="Times New Roman Uni"/>
          <w:sz w:val="22"/>
          <w:szCs w:val="22"/>
        </w:rPr>
        <w:t>00-</w:t>
      </w:r>
      <w:r>
        <w:rPr>
          <w:rFonts w:ascii="Times New Roman Uni" w:eastAsia="Times New Roman Uni" w:hAnsi="Times New Roman Uni" w:cs="Times New Roman Uni"/>
          <w:sz w:val="22"/>
          <w:szCs w:val="22"/>
        </w:rPr>
        <w:t>I99</w:t>
      </w:r>
    </w:p>
    <w:p w14:paraId="5F553B74" w14:textId="77777777" w:rsidR="00F37335" w:rsidRPr="001B4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color w:val="000000"/>
          <w:sz w:val="22"/>
          <w:szCs w:val="22"/>
        </w:rPr>
      </w:pPr>
      <w:r>
        <w:rPr>
          <w:rFonts w:ascii="Times New Roman Uni" w:eastAsia="Times New Roman Uni" w:hAnsi="Times New Roman Uni" w:cs="Times New Roman Uni"/>
          <w:color w:val="000000"/>
          <w:sz w:val="22"/>
          <w:szCs w:val="22"/>
          <w:vertAlign w:val="superscript"/>
        </w:rPr>
        <w:t>4</w:t>
      </w:r>
      <w:r>
        <w:rPr>
          <w:rFonts w:ascii="Times New Roman Uni" w:eastAsia="Times New Roman Uni" w:hAnsi="Times New Roman Uni" w:cs="Times New Roman Uni"/>
          <w:sz w:val="22"/>
          <w:szCs w:val="22"/>
        </w:rPr>
        <w:t xml:space="preserve"> 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HRs and 95% CIs results from Cox proportional hazards analysis, adjusted by age, sex, </w:t>
      </w:r>
      <w:r>
        <w:rPr>
          <w:rFonts w:ascii="Times New Roman Uni" w:eastAsia="Times New Roman Uni" w:hAnsi="Times New Roman Uni" w:cs="Times New Roman Uni"/>
          <w:sz w:val="24"/>
          <w:szCs w:val="24"/>
        </w:rPr>
        <w:t xml:space="preserve">marital status, education level, BMI, smoking, drinking, physical </w:t>
      </w:r>
      <w:r w:rsidRPr="00EB700D">
        <w:rPr>
          <w:rFonts w:ascii="Times New Roman Uni" w:eastAsia="Times New Roman Uni" w:hAnsi="Times New Roman Uni" w:cs="Times New Roman Uni"/>
          <w:sz w:val="24"/>
          <w:szCs w:val="24"/>
        </w:rPr>
        <w:t>activity</w:t>
      </w:r>
      <w:r>
        <w:rPr>
          <w:rFonts w:ascii="Times New Roman Uni" w:eastAsia="Times New Roman Uni" w:hAnsi="Times New Roman Uni" w:cs="Times New Roman Uni"/>
          <w:sz w:val="24"/>
          <w:szCs w:val="24"/>
        </w:rPr>
        <w:t xml:space="preserve">, and </w:t>
      </w:r>
      <w:r w:rsidRPr="00EB700D">
        <w:rPr>
          <w:rFonts w:ascii="Times New Roman Uni" w:eastAsia="Times New Roman Uni" w:hAnsi="Times New Roman Uni" w:cs="Times New Roman Uni" w:hint="eastAsia"/>
          <w:sz w:val="24"/>
          <w:szCs w:val="24"/>
        </w:rPr>
        <w:t>c</w:t>
      </w:r>
      <w:r w:rsidRPr="00EB700D">
        <w:rPr>
          <w:rFonts w:ascii="Times New Roman Uni" w:eastAsia="Times New Roman Uni" w:hAnsi="Times New Roman Uni" w:cs="Times New Roman Uni"/>
          <w:sz w:val="24"/>
          <w:szCs w:val="24"/>
        </w:rPr>
        <w:t>omorbidity score</w:t>
      </w:r>
    </w:p>
    <w:p w14:paraId="1A413197" w14:textId="5D632712" w:rsidR="001B116C" w:rsidRDefault="00F37335" w:rsidP="00004F5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 Uni" w:eastAsia="Times New Roman Uni" w:hAnsi="Times New Roman Uni" w:cs="Times New Roman Uni"/>
          <w:color w:val="000000"/>
          <w:sz w:val="22"/>
          <w:szCs w:val="22"/>
          <w:vertAlign w:val="superscript"/>
        </w:rPr>
        <w:t>5</w:t>
      </w:r>
      <w:r>
        <w:rPr>
          <w:rFonts w:ascii="Times New Roman Uni" w:eastAsia="Times New Roman Uni" w:hAnsi="Times New Roman Uni" w:cs="Times New Roman Uni"/>
          <w:color w:val="000000"/>
          <w:sz w:val="22"/>
          <w:szCs w:val="22"/>
        </w:rPr>
        <w:t xml:space="preserve"> Heterogeneity of results of the two phases tested by Q-statistic</w:t>
      </w:r>
      <w:bookmarkEnd w:id="0"/>
    </w:p>
    <w:sectPr w:rsidR="001B116C" w:rsidSect="00F3733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35"/>
    <w:rsid w:val="00004F55"/>
    <w:rsid w:val="00131A35"/>
    <w:rsid w:val="001B116C"/>
    <w:rsid w:val="00635D9D"/>
    <w:rsid w:val="00856BC6"/>
    <w:rsid w:val="00F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E7DC"/>
  <w15:chartTrackingRefBased/>
  <w15:docId w15:val="{731C0C1B-5C86-4944-BF61-004BCE79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335"/>
    <w:pPr>
      <w:widowControl w:val="0"/>
      <w:wordWrap w:val="0"/>
      <w:autoSpaceDE w:val="0"/>
      <w:autoSpaceDN w:val="0"/>
    </w:pPr>
    <w:rPr>
      <w:rFonts w:ascii="맑은 고딕" w:eastAsia="맑은 고딕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3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3733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이제인</cp:lastModifiedBy>
  <cp:revision>2</cp:revision>
  <dcterms:created xsi:type="dcterms:W3CDTF">2023-10-04T01:34:00Z</dcterms:created>
  <dcterms:modified xsi:type="dcterms:W3CDTF">2023-10-04T01:34:00Z</dcterms:modified>
</cp:coreProperties>
</file>